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highlight w:val="yellow"/>
        </w:rPr>
      </w:pPr>
      <w:r w:rsidDel="00000000" w:rsidR="00000000" w:rsidRPr="00000000">
        <w:rPr>
          <w:i w:val="1"/>
          <w:highlight w:val="yellow"/>
          <w:rtl w:val="0"/>
        </w:rPr>
        <w:t xml:space="preserve">Note: This Diversity, Equity, and Inclusion (DEI) template is provided for informational purposes only and should not be considered legal, compliance, or business advice. Every workplace has unique needs, and laws and regulations surrounding DEI may vary by jurisdiction. Before adopting or implementing any policy based on this template, you should review it carefully, customize it to reflect your organization’s specific circumstances, and seek input from qualified legal, HR, or compliance professionals. Regularly review and update your DEI policy to ensure it remains effective, relevant, and compliant with applicable laws.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bookmarkStart w:colFirst="0" w:colLast="0" w:name="_759x9lvtjulq" w:id="0"/>
      <w:bookmarkEnd w:id="0"/>
      <w:r w:rsidDel="00000000" w:rsidR="00000000" w:rsidRPr="00000000">
        <w:rPr>
          <w:rtl w:val="0"/>
        </w:rPr>
        <w:t xml:space="preserve">[Firm Name]'s Commitment to</w:t>
      </w:r>
    </w:p>
    <w:p w:rsidR="00000000" w:rsidDel="00000000" w:rsidP="00000000" w:rsidRDefault="00000000" w:rsidRPr="00000000" w14:paraId="00000004">
      <w:pPr>
        <w:pStyle w:val="Title"/>
        <w:rPr/>
      </w:pPr>
      <w:bookmarkStart w:colFirst="0" w:colLast="0" w:name="_30lskyd4mrcm" w:id="1"/>
      <w:bookmarkEnd w:id="1"/>
      <w:r w:rsidDel="00000000" w:rsidR="00000000" w:rsidRPr="00000000">
        <w:rPr>
          <w:rtl w:val="0"/>
        </w:rPr>
        <w:t xml:space="preserve">Diversity, Equity, and Inclusion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Across the world, more and more companies are recognizing the importance of Diversity, Equity,</w:t>
      </w:r>
    </w:p>
    <w:p w:rsidR="00000000" w:rsidDel="00000000" w:rsidP="00000000" w:rsidRDefault="00000000" w:rsidRPr="00000000" w14:paraId="00000007">
      <w:pPr>
        <w:rPr/>
      </w:pPr>
      <w:r w:rsidDel="00000000" w:rsidR="00000000" w:rsidRPr="00000000">
        <w:rPr>
          <w:rtl w:val="0"/>
        </w:rPr>
        <w:t xml:space="preserve">and Inclusion (DEI) policies in the workplace. DEI policies help to create a workplace that is fair</w:t>
      </w:r>
    </w:p>
    <w:p w:rsidR="00000000" w:rsidDel="00000000" w:rsidP="00000000" w:rsidRDefault="00000000" w:rsidRPr="00000000" w14:paraId="00000008">
      <w:pPr>
        <w:rPr/>
      </w:pPr>
      <w:r w:rsidDel="00000000" w:rsidR="00000000" w:rsidRPr="00000000">
        <w:rPr>
          <w:rtl w:val="0"/>
        </w:rPr>
        <w:t xml:space="preserve">and inclusive for all employees, regardless of their race, gender, religion, or sexual orientation.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[Firm Name]</w:t>
      </w:r>
      <w:r w:rsidDel="00000000" w:rsidR="00000000" w:rsidRPr="00000000">
        <w:rPr>
          <w:rtl w:val="0"/>
        </w:rPr>
        <w:t xml:space="preserve"> is committed to creating a workplace where everyone feels welcome and</w:t>
      </w:r>
    </w:p>
    <w:p w:rsidR="00000000" w:rsidDel="00000000" w:rsidP="00000000" w:rsidRDefault="00000000" w:rsidRPr="00000000" w14:paraId="0000000B">
      <w:pPr>
        <w:rPr/>
      </w:pPr>
      <w:r w:rsidDel="00000000" w:rsidR="00000000" w:rsidRPr="00000000">
        <w:rPr>
          <w:rtl w:val="0"/>
        </w:rPr>
        <w:t xml:space="preserve">appreciated. We believe that our DEI policy will help us to achieve this goal, and we are proud</w:t>
      </w:r>
    </w:p>
    <w:p w:rsidR="00000000" w:rsidDel="00000000" w:rsidP="00000000" w:rsidRDefault="00000000" w:rsidRPr="00000000" w14:paraId="0000000C">
      <w:pPr>
        <w:rPr/>
      </w:pPr>
      <w:r w:rsidDel="00000000" w:rsidR="00000000" w:rsidRPr="00000000">
        <w:rPr>
          <w:rtl w:val="0"/>
        </w:rPr>
        <w:t xml:space="preserve">to be a company in our industry to implement such a policy.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DEI policy outlines our commitment to diversity, equity, and inclusion, as well as the steps</w:t>
      </w:r>
    </w:p>
    <w:p w:rsidR="00000000" w:rsidDel="00000000" w:rsidP="00000000" w:rsidRDefault="00000000" w:rsidRPr="00000000" w14:paraId="0000000F">
      <w:pPr>
        <w:rPr/>
      </w:pPr>
      <w:r w:rsidDel="00000000" w:rsidR="00000000" w:rsidRPr="00000000">
        <w:rPr>
          <w:rtl w:val="0"/>
        </w:rPr>
        <w:t xml:space="preserve">we will take care to ensure that all employees feel valued and respected. We believe that this policy will not only benefit our employees but also our company as a whole. Thank you for taking the time to read it.</w:t>
      </w:r>
    </w:p>
    <w:p w:rsidR="00000000" w:rsidDel="00000000" w:rsidP="00000000" w:rsidRDefault="00000000" w:rsidRPr="00000000" w14:paraId="00000010">
      <w:pPr>
        <w:pStyle w:val="Heading3"/>
        <w:rPr/>
      </w:pPr>
      <w:bookmarkStart w:colFirst="0" w:colLast="0" w:name="_roje94jolzb0" w:id="2"/>
      <w:bookmarkEnd w:id="2"/>
      <w:r w:rsidDel="00000000" w:rsidR="00000000" w:rsidRPr="00000000">
        <w:rPr>
          <w:rtl w:val="0"/>
        </w:rPr>
        <w:t xml:space="preserve">How We Respect Diversity</w:t>
      </w:r>
    </w:p>
    <w:p w:rsidR="00000000" w:rsidDel="00000000" w:rsidP="00000000" w:rsidRDefault="00000000" w:rsidRPr="00000000" w14:paraId="00000011">
      <w:pPr>
        <w:rPr/>
      </w:pPr>
      <w:r w:rsidDel="00000000" w:rsidR="00000000" w:rsidRPr="00000000">
        <w:rPr>
          <w:rtl w:val="0"/>
        </w:rPr>
        <w:t xml:space="preserve">At </w:t>
      </w:r>
      <w:r w:rsidDel="00000000" w:rsidR="00000000" w:rsidRPr="00000000">
        <w:rPr>
          <w:b w:val="1"/>
          <w:rtl w:val="0"/>
        </w:rPr>
        <w:t xml:space="preserve">[Firm Name]</w:t>
      </w:r>
      <w:r w:rsidDel="00000000" w:rsidR="00000000" w:rsidRPr="00000000">
        <w:rPr>
          <w:rtl w:val="0"/>
        </w:rPr>
        <w:t xml:space="preserve">, we aim to respect and recognize the differences that make us strong, rather than pretending they don’t exist at all</w:t>
      </w:r>
      <w:r w:rsidDel="00000000" w:rsidR="00000000" w:rsidRPr="00000000">
        <w:rPr>
          <w:rtl w:val="0"/>
        </w:rPr>
        <w:t xml:space="preserve">. Here is how we see and support the diverse backgrounds of our talent, including: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8"/>
        </w:numPr>
        <w:ind w:left="720" w:hanging="360"/>
        <w:rPr>
          <w:u w:val="none"/>
        </w:rPr>
      </w:pPr>
      <w:r w:rsidDel="00000000" w:rsidR="00000000" w:rsidRPr="00000000">
        <w:rPr>
          <w:b w:val="1"/>
          <w:rtl w:val="0"/>
        </w:rPr>
        <w:t xml:space="preserve">Race</w:t>
      </w:r>
      <w:r w:rsidDel="00000000" w:rsidR="00000000" w:rsidRPr="00000000">
        <w:rPr>
          <w:rtl w:val="0"/>
        </w:rPr>
        <w:t xml:space="preserve">. Racial diversity means including, involving, and acknowledging people with diverse inherited physical traits. It also means being color-conscious while supporting differences in the workplace, without tokenizing anyone into speaking for their entire race.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1"/>
        </w:numPr>
        <w:ind w:left="720" w:hanging="360"/>
        <w:rPr>
          <w:u w:val="none"/>
        </w:rPr>
      </w:pPr>
      <w:r w:rsidDel="00000000" w:rsidR="00000000" w:rsidRPr="00000000">
        <w:rPr>
          <w:b w:val="1"/>
          <w:rtl w:val="0"/>
        </w:rPr>
        <w:t xml:space="preserve">Ethnicity</w:t>
      </w:r>
      <w:r w:rsidDel="00000000" w:rsidR="00000000" w:rsidRPr="00000000">
        <w:rPr>
          <w:rtl w:val="0"/>
        </w:rPr>
        <w:t xml:space="preserve">. Ethnic diversity means including and involving people with a diverse set of traditions, ancestry, language, history, society, and more, without assuming certain actions or beliefs based on that same ethnicity or culture (AKA stereotypes).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4"/>
        </w:numPr>
        <w:ind w:left="720" w:hanging="360"/>
        <w:rPr>
          <w:u w:val="none"/>
        </w:rPr>
      </w:pPr>
      <w:r w:rsidDel="00000000" w:rsidR="00000000" w:rsidRPr="00000000">
        <w:rPr>
          <w:b w:val="1"/>
          <w:rtl w:val="0"/>
        </w:rPr>
        <w:t xml:space="preserve">Gender Identity/Sexual Orientation.</w:t>
      </w:r>
      <w:r w:rsidDel="00000000" w:rsidR="00000000" w:rsidRPr="00000000">
        <w:rPr>
          <w:rtl w:val="0"/>
        </w:rPr>
        <w:t xml:space="preserve"> Diversity in gender and sexual orientation refers to inclusivity and involvement of all variations of gender and sexual orientation, regardless of how one identifies, and without a need to question or discuss anyone’s identity beyond what they have already shared.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9"/>
        </w:numPr>
        <w:ind w:left="720" w:hanging="360"/>
        <w:rPr>
          <w:u w:val="none"/>
        </w:rPr>
      </w:pPr>
      <w:r w:rsidDel="00000000" w:rsidR="00000000" w:rsidRPr="00000000">
        <w:rPr>
          <w:b w:val="1"/>
          <w:rtl w:val="0"/>
        </w:rPr>
        <w:t xml:space="preserve">Age.</w:t>
      </w:r>
      <w:r w:rsidDel="00000000" w:rsidR="00000000" w:rsidRPr="00000000">
        <w:rPr>
          <w:rtl w:val="0"/>
        </w:rPr>
        <w:t xml:space="preserve"> Age diversity means working with, hiring, and involving people of all ages and generations, and striving to keep a spectrum of age ranges across all roles and seniority levels.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7"/>
        </w:numPr>
        <w:ind w:left="720" w:hanging="360"/>
        <w:rPr>
          <w:u w:val="none"/>
        </w:rPr>
      </w:pPr>
      <w:r w:rsidDel="00000000" w:rsidR="00000000" w:rsidRPr="00000000">
        <w:rPr>
          <w:b w:val="1"/>
          <w:rtl w:val="0"/>
        </w:rPr>
        <w:t xml:space="preserve">Physical Attributes and Non-Visible Disabilities. </w:t>
      </w:r>
      <w:r w:rsidDel="00000000" w:rsidR="00000000" w:rsidRPr="00000000">
        <w:rPr>
          <w:rtl w:val="0"/>
        </w:rPr>
        <w:t xml:space="preserve">A</w:t>
      </w:r>
      <w:r w:rsidDel="00000000" w:rsidR="00000000" w:rsidRPr="00000000">
        <w:rPr>
          <w:rtl w:val="0"/>
        </w:rPr>
        <w:t xml:space="preserve">bility diversity aims to represent people with various levels of physical attributes and abilities, including making all necessary accommodations for disabled workers, including anyone living with non-physical disabilities, encouraging an equitable work environment for both physical and mental health.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5"/>
        </w:numPr>
        <w:ind w:left="720" w:hanging="360"/>
        <w:rPr>
          <w:u w:val="none"/>
        </w:rPr>
      </w:pPr>
      <w:r w:rsidDel="00000000" w:rsidR="00000000" w:rsidRPr="00000000">
        <w:rPr>
          <w:b w:val="1"/>
          <w:rtl w:val="0"/>
        </w:rPr>
        <w:t xml:space="preserve">Veteran Status</w:t>
      </w:r>
      <w:r w:rsidDel="00000000" w:rsidR="00000000" w:rsidRPr="00000000">
        <w:rPr>
          <w:rtl w:val="0"/>
        </w:rPr>
        <w:t xml:space="preserve">. Hiring, including, and fairly treating people regardless of veteran status is also crucial in the workplace. Giving veterans equal opportunity in the workplace results in a more inclusive and productive workplace culture.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6"/>
        </w:numPr>
        <w:ind w:left="720" w:hanging="360"/>
        <w:rPr>
          <w:u w:val="none"/>
        </w:rPr>
      </w:pPr>
      <w:r w:rsidDel="00000000" w:rsidR="00000000" w:rsidRPr="00000000">
        <w:rPr>
          <w:b w:val="1"/>
          <w:rtl w:val="0"/>
        </w:rPr>
        <w:t xml:space="preserve">Education Level.</w:t>
      </w:r>
      <w:r w:rsidDel="00000000" w:rsidR="00000000" w:rsidRPr="00000000">
        <w:rPr>
          <w:rtl w:val="0"/>
        </w:rPr>
        <w:t xml:space="preserve"> There is a growing and necessary trend to hire people from different educational backgrounds for roles that may have previously been designed for people with a specific education level. Involvement and inclusivity in education levels allows for innovation, creativity, and problem-solving that may not be achievable otherwise.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recognize diversity in the workplace encompasses far more than just race, gender, and age.</w:t>
      </w:r>
    </w:p>
    <w:p w:rsidR="00000000" w:rsidDel="00000000" w:rsidP="00000000" w:rsidRDefault="00000000" w:rsidRPr="00000000" w14:paraId="00000022">
      <w:pPr>
        <w:rPr/>
      </w:pPr>
      <w:r w:rsidDel="00000000" w:rsidR="00000000" w:rsidRPr="00000000">
        <w:rPr>
          <w:rtl w:val="0"/>
        </w:rPr>
        <w:t xml:space="preserve">In fact, it encompasses more than the list we’ve included above as well.</w:t>
      </w:r>
    </w:p>
    <w:p w:rsidR="00000000" w:rsidDel="00000000" w:rsidP="00000000" w:rsidRDefault="00000000" w:rsidRPr="00000000" w14:paraId="00000023">
      <w:pPr>
        <w:pStyle w:val="Heading3"/>
        <w:rPr/>
      </w:pPr>
      <w:bookmarkStart w:colFirst="0" w:colLast="0" w:name="_68h355vsr84p" w:id="3"/>
      <w:bookmarkEnd w:id="3"/>
      <w:r w:rsidDel="00000000" w:rsidR="00000000" w:rsidRPr="00000000">
        <w:rPr>
          <w:rtl w:val="0"/>
        </w:rPr>
        <w:t xml:space="preserve">Our DEI Initiatives include</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Fair treatment of all team members.</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Equal access to opportunity and promoting opportunities for staff and leadership</w:t>
      </w:r>
    </w:p>
    <w:p w:rsidR="00000000" w:rsidDel="00000000" w:rsidP="00000000" w:rsidRDefault="00000000" w:rsidRPr="00000000" w14:paraId="00000026">
      <w:pPr>
        <w:ind w:left="720" w:firstLine="0"/>
        <w:rPr/>
      </w:pPr>
      <w:r w:rsidDel="00000000" w:rsidR="00000000" w:rsidRPr="00000000">
        <w:rPr>
          <w:rtl w:val="0"/>
        </w:rPr>
        <w:t xml:space="preserve">development to ensure a diverse workforce prepared to meet current and future needs.</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Active recruitment and promotion of a diverse workforce reflective of the populations it</w:t>
      </w:r>
    </w:p>
    <w:p w:rsidR="00000000" w:rsidDel="00000000" w:rsidP="00000000" w:rsidRDefault="00000000" w:rsidRPr="00000000" w14:paraId="00000028">
      <w:pPr>
        <w:ind w:left="720" w:firstLine="0"/>
        <w:rPr/>
      </w:pPr>
      <w:r w:rsidDel="00000000" w:rsidR="00000000" w:rsidRPr="00000000">
        <w:rPr>
          <w:rtl w:val="0"/>
        </w:rPr>
        <w:t xml:space="preserve">serves.</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Teamwork and collaboration.</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A focus on innovation, creativity, and different perspectives.</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Flexibility and responsiveness at the organizational level.</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Conflict resolution processes that are collaborative.</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Proactive measures to retain a diverse workforce.</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Evidence of leadership’s involvement and commitment to diversity.</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Representation of diversity at all levels of the organization, from C-level executives to</w:t>
      </w:r>
    </w:p>
    <w:p w:rsidR="00000000" w:rsidDel="00000000" w:rsidP="00000000" w:rsidRDefault="00000000" w:rsidRPr="00000000" w14:paraId="00000030">
      <w:pPr>
        <w:ind w:left="720" w:firstLine="0"/>
        <w:rPr/>
      </w:pPr>
      <w:r w:rsidDel="00000000" w:rsidR="00000000" w:rsidRPr="00000000">
        <w:rPr>
          <w:rtl w:val="0"/>
        </w:rPr>
        <w:t xml:space="preserve">specialists.</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Representation of diversity among internal and external stakeholders.</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Diversity education and training.</w:t>
      </w:r>
    </w:p>
    <w:p w:rsidR="00000000" w:rsidDel="00000000" w:rsidP="00000000" w:rsidRDefault="00000000" w:rsidRPr="00000000" w14:paraId="00000033">
      <w:pPr>
        <w:pStyle w:val="Heading3"/>
        <w:rPr/>
      </w:pPr>
      <w:bookmarkStart w:colFirst="0" w:colLast="0" w:name="_l5lgp2mj9uks" w:id="4"/>
      <w:bookmarkEnd w:id="4"/>
      <w:r w:rsidDel="00000000" w:rsidR="00000000" w:rsidRPr="00000000">
        <w:rPr>
          <w:rtl w:val="0"/>
        </w:rPr>
        <w:t xml:space="preserve">DEI In Our Recruitment and Hiring Procedures</w:t>
      </w:r>
    </w:p>
    <w:p w:rsidR="00000000" w:rsidDel="00000000" w:rsidP="00000000" w:rsidRDefault="00000000" w:rsidRPr="00000000" w14:paraId="00000034">
      <w:pPr>
        <w:rPr/>
      </w:pPr>
      <w:r w:rsidDel="00000000" w:rsidR="00000000" w:rsidRPr="00000000">
        <w:rPr>
          <w:b w:val="1"/>
          <w:rtl w:val="0"/>
        </w:rPr>
        <w:t xml:space="preserve">[Firm Name] </w:t>
      </w:r>
      <w:r w:rsidDel="00000000" w:rsidR="00000000" w:rsidRPr="00000000">
        <w:rPr>
          <w:rtl w:val="0"/>
        </w:rPr>
        <w:t xml:space="preserve">believes that when law firms focus on DEI in their recruitment and hiring</w:t>
      </w:r>
    </w:p>
    <w:p w:rsidR="00000000" w:rsidDel="00000000" w:rsidP="00000000" w:rsidRDefault="00000000" w:rsidRPr="00000000" w14:paraId="00000035">
      <w:pPr>
        <w:rPr/>
      </w:pPr>
      <w:r w:rsidDel="00000000" w:rsidR="00000000" w:rsidRPr="00000000">
        <w:rPr>
          <w:rtl w:val="0"/>
        </w:rPr>
        <w:t xml:space="preserve">practices, they are able to create a more diverse and inclusive workforce that better represents</w:t>
      </w:r>
    </w:p>
    <w:p w:rsidR="00000000" w:rsidDel="00000000" w:rsidP="00000000" w:rsidRDefault="00000000" w:rsidRPr="00000000" w14:paraId="00000036">
      <w:pPr>
        <w:rPr/>
      </w:pPr>
      <w:r w:rsidDel="00000000" w:rsidR="00000000" w:rsidRPr="00000000">
        <w:rPr>
          <w:rtl w:val="0"/>
        </w:rPr>
        <w:t xml:space="preserve">the community around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Here are the steps we are currently taking on this front, as well as our predicted timeline: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Adjusting recruitment procedures to provide expanded access to ethnic minorities in</w:t>
      </w:r>
    </w:p>
    <w:p w:rsidR="00000000" w:rsidDel="00000000" w:rsidP="00000000" w:rsidRDefault="00000000" w:rsidRPr="00000000" w14:paraId="0000003B">
      <w:pPr>
        <w:ind w:left="720" w:firstLine="0"/>
        <w:rPr>
          <w:b w:val="1"/>
        </w:rPr>
      </w:pPr>
      <w:r w:rsidDel="00000000" w:rsidR="00000000" w:rsidRPr="00000000">
        <w:rPr>
          <w:rtl w:val="0"/>
        </w:rPr>
        <w:t xml:space="preserve">efforts to reflect the ethnic composition of our community. </w:t>
      </w:r>
      <w:r w:rsidDel="00000000" w:rsidR="00000000" w:rsidRPr="00000000">
        <w:rPr>
          <w:b w:val="1"/>
          <w:rtl w:val="0"/>
        </w:rPr>
        <w:t xml:space="preserve">[To Be Completed By X]</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Adjusting recruitment procedures to provide expanded access for applicants of different</w:t>
      </w:r>
    </w:p>
    <w:p w:rsidR="00000000" w:rsidDel="00000000" w:rsidP="00000000" w:rsidRDefault="00000000" w:rsidRPr="00000000" w14:paraId="0000003E">
      <w:pPr>
        <w:ind w:left="720" w:firstLine="0"/>
        <w:rPr/>
      </w:pPr>
      <w:r w:rsidDel="00000000" w:rsidR="00000000" w:rsidRPr="00000000">
        <w:rPr>
          <w:rtl w:val="0"/>
        </w:rPr>
        <w:t xml:space="preserve">age groups. This could include physical job boards, online job bulletins, community</w:t>
      </w:r>
    </w:p>
    <w:p w:rsidR="00000000" w:rsidDel="00000000" w:rsidP="00000000" w:rsidRDefault="00000000" w:rsidRPr="00000000" w14:paraId="0000003F">
      <w:pPr>
        <w:ind w:left="720" w:firstLine="0"/>
        <w:rPr>
          <w:b w:val="1"/>
        </w:rPr>
      </w:pPr>
      <w:r w:rsidDel="00000000" w:rsidR="00000000" w:rsidRPr="00000000">
        <w:rPr>
          <w:rtl w:val="0"/>
        </w:rPr>
        <w:t xml:space="preserve">centers, and more. </w:t>
      </w:r>
      <w:r w:rsidDel="00000000" w:rsidR="00000000" w:rsidRPr="00000000">
        <w:rPr>
          <w:b w:val="1"/>
          <w:rtl w:val="0"/>
        </w:rPr>
        <w:t xml:space="preserve">[To Be Completed By X]</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Implementing bias interrupters in our hiring policies to ensure that Black, Indigenous,</w:t>
      </w:r>
    </w:p>
    <w:p w:rsidR="00000000" w:rsidDel="00000000" w:rsidP="00000000" w:rsidRDefault="00000000" w:rsidRPr="00000000" w14:paraId="00000042">
      <w:pPr>
        <w:ind w:left="720" w:firstLine="0"/>
        <w:rPr/>
      </w:pPr>
      <w:r w:rsidDel="00000000" w:rsidR="00000000" w:rsidRPr="00000000">
        <w:rPr>
          <w:rtl w:val="0"/>
        </w:rPr>
        <w:t xml:space="preserve">and People of Color (BIPOC), LGBTQ+, candidates with disabilities etc. will not suffer</w:t>
      </w:r>
    </w:p>
    <w:p w:rsidR="00000000" w:rsidDel="00000000" w:rsidP="00000000" w:rsidRDefault="00000000" w:rsidRPr="00000000" w14:paraId="00000043">
      <w:pPr>
        <w:ind w:left="720" w:firstLine="0"/>
        <w:rPr>
          <w:b w:val="1"/>
        </w:rPr>
      </w:pPr>
      <w:r w:rsidDel="00000000" w:rsidR="00000000" w:rsidRPr="00000000">
        <w:rPr>
          <w:rtl w:val="0"/>
        </w:rPr>
        <w:t xml:space="preserve">from discrimination in our law firm. </w:t>
      </w:r>
      <w:r w:rsidDel="00000000" w:rsidR="00000000" w:rsidRPr="00000000">
        <w:rPr>
          <w:b w:val="1"/>
          <w:rtl w:val="0"/>
        </w:rPr>
        <w:t xml:space="preserve">[To Be Completed By X]</w:t>
      </w:r>
    </w:p>
    <w:p w:rsidR="00000000" w:rsidDel="00000000" w:rsidP="00000000" w:rsidRDefault="00000000" w:rsidRPr="00000000" w14:paraId="00000044">
      <w:pPr>
        <w:ind w:left="720" w:firstLine="0"/>
        <w:rPr>
          <w:b w:val="1"/>
        </w:rPr>
      </w:pPr>
      <w:r w:rsidDel="00000000" w:rsidR="00000000" w:rsidRPr="00000000">
        <w:rPr>
          <w:rtl w:val="0"/>
        </w:rPr>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Revising job listings to remove discouraging language. </w:t>
      </w:r>
      <w:r w:rsidDel="00000000" w:rsidR="00000000" w:rsidRPr="00000000">
        <w:rPr>
          <w:b w:val="1"/>
          <w:rtl w:val="0"/>
        </w:rPr>
        <w:t xml:space="preserve">[To Be Completed By X]</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Utilizing a static set of interview questions and ensuring they are free of nuances that</w:t>
      </w:r>
    </w:p>
    <w:p w:rsidR="00000000" w:rsidDel="00000000" w:rsidP="00000000" w:rsidRDefault="00000000" w:rsidRPr="00000000" w14:paraId="00000048">
      <w:pPr>
        <w:ind w:left="720" w:firstLine="0"/>
        <w:rPr>
          <w:b w:val="1"/>
        </w:rPr>
      </w:pPr>
      <w:r w:rsidDel="00000000" w:rsidR="00000000" w:rsidRPr="00000000">
        <w:rPr>
          <w:rtl w:val="0"/>
        </w:rPr>
        <w:t xml:space="preserve">only certain interviewees will understand. </w:t>
      </w:r>
      <w:r w:rsidDel="00000000" w:rsidR="00000000" w:rsidRPr="00000000">
        <w:rPr>
          <w:b w:val="1"/>
          <w:rtl w:val="0"/>
        </w:rPr>
        <w:t xml:space="preserve">[To Be Completed By X]</w:t>
      </w:r>
    </w:p>
    <w:p w:rsidR="00000000" w:rsidDel="00000000" w:rsidP="00000000" w:rsidRDefault="00000000" w:rsidRPr="00000000" w14:paraId="00000049">
      <w:pPr>
        <w:ind w:left="720" w:firstLine="0"/>
        <w:rPr>
          <w:b w:val="1"/>
        </w:rPr>
      </w:pP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Asking applicants to omit names and schools from resumes or have someone internally</w:t>
      </w:r>
    </w:p>
    <w:p w:rsidR="00000000" w:rsidDel="00000000" w:rsidP="00000000" w:rsidRDefault="00000000" w:rsidRPr="00000000" w14:paraId="0000004B">
      <w:pPr>
        <w:ind w:left="720" w:firstLine="0"/>
        <w:rPr>
          <w:b w:val="1"/>
        </w:rPr>
      </w:pPr>
      <w:r w:rsidDel="00000000" w:rsidR="00000000" w:rsidRPr="00000000">
        <w:rPr>
          <w:rtl w:val="0"/>
        </w:rPr>
        <w:t xml:space="preserve">do so before passing them along to hiring managers. </w:t>
      </w:r>
      <w:r w:rsidDel="00000000" w:rsidR="00000000" w:rsidRPr="00000000">
        <w:rPr>
          <w:b w:val="1"/>
          <w:rtl w:val="0"/>
        </w:rPr>
        <w:t xml:space="preserve">[To Be Completed By X]</w:t>
      </w:r>
    </w:p>
    <w:p w:rsidR="00000000" w:rsidDel="00000000" w:rsidP="00000000" w:rsidRDefault="00000000" w:rsidRPr="00000000" w14:paraId="0000004C">
      <w:pPr>
        <w:ind w:left="720" w:firstLine="0"/>
        <w:rPr>
          <w:b w:val="1"/>
        </w:rPr>
      </w:pPr>
      <w:r w:rsidDel="00000000" w:rsidR="00000000" w:rsidRPr="00000000">
        <w:rPr>
          <w:rtl w:val="0"/>
        </w:rPr>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Taking thorough notes during interviews so we have information, instead of impressions</w:t>
      </w:r>
    </w:p>
    <w:p w:rsidR="00000000" w:rsidDel="00000000" w:rsidP="00000000" w:rsidRDefault="00000000" w:rsidRPr="00000000" w14:paraId="0000004E">
      <w:pPr>
        <w:ind w:left="720" w:firstLine="0"/>
        <w:rPr/>
      </w:pPr>
      <w:r w:rsidDel="00000000" w:rsidR="00000000" w:rsidRPr="00000000">
        <w:rPr>
          <w:rtl w:val="0"/>
        </w:rPr>
        <w:t xml:space="preserve">to go by. </w:t>
      </w:r>
      <w:r w:rsidDel="00000000" w:rsidR="00000000" w:rsidRPr="00000000">
        <w:rPr>
          <w:b w:val="1"/>
          <w:rtl w:val="0"/>
        </w:rPr>
        <w:t xml:space="preserve">[To Be Completed By X]</w:t>
      </w:r>
      <w:r w:rsidDel="00000000" w:rsidR="00000000" w:rsidRPr="00000000">
        <w:rPr>
          <w:rtl w:val="0"/>
        </w:rPr>
      </w:r>
    </w:p>
    <w:p w:rsidR="00000000" w:rsidDel="00000000" w:rsidP="00000000" w:rsidRDefault="00000000" w:rsidRPr="00000000" w14:paraId="0000004F">
      <w:pPr>
        <w:pStyle w:val="Heading3"/>
        <w:rPr/>
      </w:pPr>
      <w:bookmarkStart w:colFirst="0" w:colLast="0" w:name="_a9byj97zsuen" w:id="5"/>
      <w:bookmarkEnd w:id="5"/>
      <w:r w:rsidDel="00000000" w:rsidR="00000000" w:rsidRPr="00000000">
        <w:rPr>
          <w:rtl w:val="0"/>
        </w:rPr>
        <w:t xml:space="preserve">Supporting Anti-Racism, Color-Consciousness, LGBTQ+ Friendly Policies, and More</w:t>
      </w:r>
    </w:p>
    <w:p w:rsidR="00000000" w:rsidDel="00000000" w:rsidP="00000000" w:rsidRDefault="00000000" w:rsidRPr="00000000" w14:paraId="00000050">
      <w:pPr>
        <w:rPr/>
      </w:pPr>
      <w:r w:rsidDel="00000000" w:rsidR="00000000" w:rsidRPr="00000000">
        <w:rPr>
          <w:rtl w:val="0"/>
        </w:rPr>
        <w:t xml:space="preserve">There is a long history of discrimination in the workforce against people of color, LGBTQ+</w:t>
      </w:r>
    </w:p>
    <w:p w:rsidR="00000000" w:rsidDel="00000000" w:rsidP="00000000" w:rsidRDefault="00000000" w:rsidRPr="00000000" w14:paraId="00000051">
      <w:pPr>
        <w:rPr/>
      </w:pPr>
      <w:r w:rsidDel="00000000" w:rsidR="00000000" w:rsidRPr="00000000">
        <w:rPr>
          <w:rtl w:val="0"/>
        </w:rPr>
        <w:t xml:space="preserve">individuals, and other minority groups. </w:t>
      </w:r>
      <w:r w:rsidDel="00000000" w:rsidR="00000000" w:rsidRPr="00000000">
        <w:rPr>
          <w:b w:val="1"/>
          <w:rtl w:val="0"/>
        </w:rPr>
        <w:t xml:space="preserve">[Firm Name] </w:t>
      </w:r>
      <w:r w:rsidDel="00000000" w:rsidR="00000000" w:rsidRPr="00000000">
        <w:rPr>
          <w:rtl w:val="0"/>
        </w:rPr>
        <w:t xml:space="preserve">recognizes that supporting anti-racism, color-consciousness, and LGBTQ-friendly policies is the right thing to do for our employees, the communities we serve, and our business as a whole.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By creating a workplace where everyone feels safe and respected, we can improve productivity and creativity. Here are some of the steps we have taken in support of these initiatives: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3"/>
        </w:numPr>
        <w:ind w:left="720" w:hanging="360"/>
        <w:rPr>
          <w:u w:val="none"/>
        </w:rPr>
      </w:pPr>
      <w:r w:rsidDel="00000000" w:rsidR="00000000" w:rsidRPr="00000000">
        <w:rPr>
          <w:b w:val="1"/>
          <w:rtl w:val="0"/>
        </w:rPr>
        <w:t xml:space="preserve">Involving Leadership. </w:t>
      </w:r>
      <w:r w:rsidDel="00000000" w:rsidR="00000000" w:rsidRPr="00000000">
        <w:rPr>
          <w:rtl w:val="0"/>
        </w:rPr>
        <w:t xml:space="preserve">Providing leadership with statistics on why diversity makes good</w:t>
      </w:r>
    </w:p>
    <w:p w:rsidR="00000000" w:rsidDel="00000000" w:rsidP="00000000" w:rsidRDefault="00000000" w:rsidRPr="00000000" w14:paraId="00000056">
      <w:pPr>
        <w:ind w:left="720" w:firstLine="0"/>
        <w:rPr/>
      </w:pPr>
      <w:r w:rsidDel="00000000" w:rsidR="00000000" w:rsidRPr="00000000">
        <w:rPr>
          <w:rtl w:val="0"/>
        </w:rPr>
        <w:t xml:space="preserve">business sense, and be ready to demonstrate that our employees need to hear an</w:t>
      </w:r>
    </w:p>
    <w:p w:rsidR="00000000" w:rsidDel="00000000" w:rsidP="00000000" w:rsidRDefault="00000000" w:rsidRPr="00000000" w14:paraId="00000057">
      <w:pPr>
        <w:ind w:left="720" w:firstLine="0"/>
        <w:rPr/>
      </w:pPr>
      <w:r w:rsidDel="00000000" w:rsidR="00000000" w:rsidRPr="00000000">
        <w:rPr>
          <w:rtl w:val="0"/>
        </w:rPr>
        <w:t xml:space="preserve">anti-racist stance from executives.</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numPr>
          <w:ilvl w:val="0"/>
          <w:numId w:val="3"/>
        </w:numPr>
        <w:ind w:left="720" w:hanging="360"/>
        <w:rPr>
          <w:u w:val="none"/>
        </w:rPr>
      </w:pPr>
      <w:r w:rsidDel="00000000" w:rsidR="00000000" w:rsidRPr="00000000">
        <w:rPr>
          <w:b w:val="1"/>
          <w:rtl w:val="0"/>
        </w:rPr>
        <w:t xml:space="preserve">Creating a DEI Council </w:t>
      </w:r>
      <w:r w:rsidDel="00000000" w:rsidR="00000000" w:rsidRPr="00000000">
        <w:rPr>
          <w:rtl w:val="0"/>
        </w:rPr>
        <w:t xml:space="preserve">made up of </w:t>
      </w:r>
      <w:r w:rsidDel="00000000" w:rsidR="00000000" w:rsidRPr="00000000">
        <w:rPr>
          <w:b w:val="1"/>
          <w:rtl w:val="0"/>
        </w:rPr>
        <w:t xml:space="preserve">[Names Here] </w:t>
      </w:r>
      <w:r w:rsidDel="00000000" w:rsidR="00000000" w:rsidRPr="00000000">
        <w:rPr>
          <w:rtl w:val="0"/>
        </w:rPr>
        <w:t xml:space="preserve">that will meet </w:t>
      </w:r>
      <w:r w:rsidDel="00000000" w:rsidR="00000000" w:rsidRPr="00000000">
        <w:rPr>
          <w:b w:val="1"/>
          <w:rtl w:val="0"/>
        </w:rPr>
        <w:t xml:space="preserve">[Every X Weeks]</w:t>
      </w:r>
      <w:r w:rsidDel="00000000" w:rsidR="00000000" w:rsidRPr="00000000">
        <w:rPr>
          <w:rtl w:val="0"/>
        </w:rPr>
        <w:t xml:space="preserve"> to discuss and act on major projects in our DEI initiative. America, and that we take decisive action to combat it.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3"/>
        </w:numPr>
        <w:ind w:left="720" w:hanging="360"/>
        <w:rPr>
          <w:u w:val="none"/>
        </w:rPr>
      </w:pPr>
      <w:r w:rsidDel="00000000" w:rsidR="00000000" w:rsidRPr="00000000">
        <w:rPr>
          <w:b w:val="1"/>
          <w:rtl w:val="0"/>
        </w:rPr>
        <w:t xml:space="preserve">Inviting employees to weigh in </w:t>
      </w:r>
      <w:r w:rsidDel="00000000" w:rsidR="00000000" w:rsidRPr="00000000">
        <w:rPr>
          <w:rtl w:val="0"/>
        </w:rPr>
        <w:t xml:space="preserve">via </w:t>
      </w:r>
      <w:r w:rsidDel="00000000" w:rsidR="00000000" w:rsidRPr="00000000">
        <w:rPr>
          <w:b w:val="1"/>
          <w:rtl w:val="0"/>
        </w:rPr>
        <w:t xml:space="preserve">[clear platform or regular meeting]</w:t>
      </w: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3"/>
        </w:numPr>
        <w:ind w:left="720" w:hanging="360"/>
        <w:rPr>
          <w:u w:val="none"/>
        </w:rPr>
      </w:pPr>
      <w:r w:rsidDel="00000000" w:rsidR="00000000" w:rsidRPr="00000000">
        <w:rPr>
          <w:b w:val="1"/>
          <w:rtl w:val="0"/>
        </w:rPr>
        <w:t xml:space="preserve">Launching an anonymous feedback form</w:t>
      </w:r>
      <w:r w:rsidDel="00000000" w:rsidR="00000000" w:rsidRPr="00000000">
        <w:rPr>
          <w:rtl w:val="0"/>
        </w:rPr>
        <w:t xml:space="preserve"> where senior leadership will commit to addressing every single response.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hd w:fill="ffff0b" w:val="clear"/>
        <w:spacing w:after="60" w:lineRule="auto"/>
        <w:rPr>
          <w:rFonts w:ascii="Times New Roman" w:cs="Times New Roman" w:eastAsia="Times New Roman" w:hAnsi="Times New Roman"/>
          <w:color w:val="313131"/>
          <w:sz w:val="27"/>
          <w:szCs w:val="27"/>
        </w:rPr>
      </w:pPr>
      <w:r w:rsidDel="00000000" w:rsidR="00000000" w:rsidRPr="00000000">
        <w:rPr>
          <w:rFonts w:ascii="Times New Roman" w:cs="Times New Roman" w:eastAsia="Times New Roman" w:hAnsi="Times New Roman"/>
          <w:color w:val="313131"/>
          <w:sz w:val="27"/>
          <w:szCs w:val="27"/>
          <w:rtl w:val="0"/>
        </w:rPr>
        <w:t xml:space="preserve">Template created by Clio. </w:t>
      </w:r>
    </w:p>
    <w:p w:rsidR="00000000" w:rsidDel="00000000" w:rsidP="00000000" w:rsidRDefault="00000000" w:rsidRPr="00000000" w14:paraId="00000062">
      <w:pPr>
        <w:shd w:fill="ffff0b" w:val="clear"/>
        <w:spacing w:after="2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13131"/>
          <w:sz w:val="20"/>
          <w:szCs w:val="20"/>
          <w:rtl w:val="0"/>
        </w:rPr>
        <w:t xml:space="preserve">Last updated: August 15, 2025</w:t>
      </w:r>
      <w:r w:rsidDel="00000000" w:rsidR="00000000" w:rsidRPr="00000000">
        <w:rPr>
          <w:rtl w:val="0"/>
        </w:rPr>
      </w:r>
    </w:p>
    <w:p w:rsidR="00000000" w:rsidDel="00000000" w:rsidP="00000000" w:rsidRDefault="00000000" w:rsidRPr="00000000" w14:paraId="00000063">
      <w:pPr>
        <w:pStyle w:val="Heading2"/>
        <w:rPr>
          <w:rFonts w:ascii="Times New Roman" w:cs="Times New Roman" w:eastAsia="Times New Roman" w:hAnsi="Times New Roman"/>
        </w:rPr>
      </w:pPr>
      <w:bookmarkStart w:colFirst="0" w:colLast="0" w:name="_fco34ptxk9ot" w:id="6"/>
      <w:bookmarkEnd w:id="6"/>
      <w:r w:rsidDel="00000000" w:rsidR="00000000" w:rsidRPr="00000000">
        <w:rPr>
          <w:rFonts w:ascii="Times New Roman" w:cs="Times New Roman" w:eastAsia="Times New Roman" w:hAnsi="Times New Roman"/>
          <w:rtl w:val="0"/>
        </w:rPr>
        <w:t xml:space="preserve">About Clio.</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Clio is the world's leading provider of cloud-based legal technology, providing lawyers with low-barrier, affordable solutions to manage and grow their firms more effectively, more profitably, and with better client experiences. It redefines how lawyers manage their firms by equipping them with the tools they need to run their firms securely from any device, anywhere.</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Clio is headquartered in Vancouver, Canada, and has offices in Toronto, Calgary, Dublin, and Sydney, including a global workforce of over 1,500 employees.</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150,000 legal professionals use Clio</w:t>
      </w:r>
    </w:p>
    <w:p w:rsidR="00000000" w:rsidDel="00000000" w:rsidP="00000000" w:rsidRDefault="00000000" w:rsidRPr="00000000" w14:paraId="00000069">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Clio is used in more than 130 countries</w:t>
      </w:r>
    </w:p>
    <w:p w:rsidR="00000000" w:rsidDel="00000000" w:rsidP="00000000" w:rsidRDefault="00000000" w:rsidRPr="00000000" w14:paraId="0000006A">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 app integration partners in our ecosystem</w:t>
      </w:r>
    </w:p>
    <w:p w:rsidR="00000000" w:rsidDel="00000000" w:rsidP="00000000" w:rsidRDefault="00000000" w:rsidRPr="00000000" w14:paraId="0000006B">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years of building innovative cloud-based solutions for the legal industry</w:t>
      </w:r>
    </w:p>
    <w:p w:rsidR="00000000" w:rsidDel="00000000" w:rsidP="00000000" w:rsidRDefault="00000000" w:rsidRPr="00000000" w14:paraId="0000006C">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100 law societies and bar associations recognize Clio, including all 50 State Bar Associations in the United States</w:t>
      </w:r>
    </w:p>
    <w:p w:rsidR="00000000" w:rsidDel="00000000" w:rsidP="00000000" w:rsidRDefault="00000000" w:rsidRPr="00000000" w14:paraId="0000006D">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5-star reviews of any legal practice management software</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color w:val="313131"/>
          <w:sz w:val="20"/>
          <w:szCs w:val="20"/>
        </w:rPr>
      </w:pPr>
      <w:r w:rsidDel="00000000" w:rsidR="00000000" w:rsidRPr="00000000">
        <w:rPr>
          <w:rFonts w:ascii="Times New Roman" w:cs="Times New Roman" w:eastAsia="Times New Roman" w:hAnsi="Times New Roman"/>
          <w:rtl w:val="0"/>
        </w:rPr>
        <w:t xml:space="preserve">Learn more at </w:t>
      </w:r>
      <w:hyperlink r:id="rId6">
        <w:r w:rsidDel="00000000" w:rsidR="00000000" w:rsidRPr="00000000">
          <w:rPr>
            <w:rFonts w:ascii="Times New Roman" w:cs="Times New Roman" w:eastAsia="Times New Roman" w:hAnsi="Times New Roman"/>
            <w:color w:val="1155cc"/>
            <w:u w:val="single"/>
            <w:rtl w:val="0"/>
          </w:rPr>
          <w:t xml:space="preserve">Clio.com</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l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